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top w:w="170" w:type="dxa"/>
          <w:left w:w="57" w:type="dxa"/>
          <w:bottom w:w="170" w:type="dxa"/>
          <w:right w:w="57" w:type="dxa"/>
        </w:tblCellMar>
        <w:tblLook w:val="04A0" w:firstRow="1" w:lastRow="0" w:firstColumn="1" w:lastColumn="0" w:noHBand="0" w:noVBand="1"/>
      </w:tblPr>
      <w:tblGrid>
        <w:gridCol w:w="9638"/>
      </w:tblGrid>
      <w:tr w:rsidR="00CC50AF">
        <w:trPr>
          <w:trHeight w:val="2100"/>
        </w:trPr>
        <w:tc>
          <w:tcPr>
            <w:tcW w:w="9638" w:type="dxa"/>
          </w:tcPr>
          <w:p w:rsidR="00CC50AF" w:rsidRDefault="00000000">
            <w:pPr>
              <w:pStyle w:val="Contenudetableau"/>
              <w:jc w:val="center"/>
              <w:rPr>
                <w:rFonts w:ascii="Arial" w:hAnsi="Arial"/>
              </w:rPr>
            </w:pPr>
            <w:r>
              <w:rPr>
                <w:rFonts w:ascii="Arial" w:hAnsi="Arial"/>
                <w:noProof/>
              </w:rPr>
              <w:drawing>
                <wp:inline distT="0" distB="0" distL="0" distR="0">
                  <wp:extent cx="1080135" cy="1146810"/>
                  <wp:effectExtent l="0" t="0" r="0" b="0"/>
                  <wp:docPr id="1" name="Logo FIPHFP" descr="Logo du FIPH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PHFP" descr="Logo du FIPHFP"/>
                          <pic:cNvPicPr>
                            <a:picLocks noChangeAspect="1" noChangeArrowheads="1"/>
                          </pic:cNvPicPr>
                        </pic:nvPicPr>
                        <pic:blipFill>
                          <a:blip r:embed="rId4"/>
                          <a:srcRect b="-10249"/>
                          <a:stretch>
                            <a:fillRect/>
                          </a:stretch>
                        </pic:blipFill>
                        <pic:spPr bwMode="auto">
                          <a:xfrm>
                            <a:off x="0" y="0"/>
                            <a:ext cx="1080135" cy="1146810"/>
                          </a:xfrm>
                          <a:prstGeom prst="rect">
                            <a:avLst/>
                          </a:prstGeom>
                        </pic:spPr>
                      </pic:pic>
                    </a:graphicData>
                  </a:graphic>
                </wp:inline>
              </w:drawing>
            </w:r>
          </w:p>
        </w:tc>
      </w:tr>
      <w:tr w:rsidR="00CC50AF">
        <w:trPr>
          <w:trHeight w:val="315"/>
        </w:trPr>
        <w:tc>
          <w:tcPr>
            <w:tcW w:w="9638" w:type="dxa"/>
            <w:shd w:val="clear" w:color="auto" w:fill="23003E"/>
          </w:tcPr>
          <w:p w:rsidR="00CC50AF" w:rsidRDefault="00000000">
            <w:pPr>
              <w:pStyle w:val="N1"/>
            </w:pPr>
            <w:r>
              <w:t>Le FIPHFP : ses mission</w:t>
            </w:r>
            <w:r w:rsidR="00965006">
              <w:t>s</w:t>
            </w:r>
          </w:p>
        </w:tc>
      </w:tr>
      <w:tr w:rsidR="00CC50AF">
        <w:tc>
          <w:tcPr>
            <w:tcW w:w="9638" w:type="dxa"/>
          </w:tcPr>
          <w:p w:rsidR="00CC50AF" w:rsidRDefault="00000000">
            <w:pPr>
              <w:pStyle w:val="NormalWeb"/>
              <w:spacing w:before="227"/>
            </w:pPr>
            <w:r>
              <w:t>Au fil de leur carrière, les agents peuvent être confrontés à des problématiques de santé affectant leurs missions, exigeant l'aménagement de leur poste de travail, une réaffectation ou éventuellement un reclassement. Il est donc crucial de se connaître le Fonds pour l'Insertion Professionnelle des Personnes Handicapées dans la Fonction Publique (FIPHFP).</w:t>
            </w:r>
          </w:p>
          <w:p w:rsidR="00CC50AF" w:rsidRDefault="00000000">
            <w:pPr>
              <w:pStyle w:val="NormalWeb"/>
            </w:pPr>
            <w:r>
              <w:t>Établi en 2005, le FIPHFP a pour mission de faciliter l'intégration et la pérennisation de l'emploi des personnes handicapées au sein de la fonction publique.</w:t>
            </w:r>
          </w:p>
          <w:p w:rsidR="00CC50AF" w:rsidRDefault="00000000">
            <w:pPr>
              <w:pStyle w:val="NormalWeb"/>
            </w:pPr>
            <w:r>
              <w:t>Il oriente principalement ses efforts vers le financement de l'adaptation des postes de travail, l'accompagnement et la formation des agents handicapés, ainsi que l'assistance apportée aux employeurs publics pour élaborer et mettre en œuvre une stratégie inclusive en matière de handicap.</w:t>
            </w:r>
          </w:p>
          <w:p w:rsidR="00CC50AF" w:rsidRDefault="00000000">
            <w:pPr>
              <w:pStyle w:val="N2"/>
            </w:pPr>
            <w:r>
              <w:t>Cette première vidéo présente le fonctionnement du FIPHFP</w:t>
            </w:r>
          </w:p>
          <w:p w:rsidR="00CC50AF" w:rsidRDefault="00000000">
            <w:pPr>
              <w:pStyle w:val="NormalWeb"/>
              <w:jc w:val="center"/>
            </w:pPr>
            <w:r>
              <w:rPr>
                <w:noProof/>
              </w:rPr>
              <w:drawing>
                <wp:inline distT="0" distB="0" distL="0" distR="0">
                  <wp:extent cx="3185795" cy="1800225"/>
                  <wp:effectExtent l="0" t="0" r="0" b="0"/>
                  <wp:docPr id="2" name="Vidéo FIPHFP" descr="Vidéo de présentation du fonctionnement du FIPHF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éo FIPHFP" descr="Vidéo de présentation du fonctionnement du FIPHFP">
                            <a:hlinkClick r:id="rId5"/>
                          </pic:cNvPr>
                          <pic:cNvPicPr>
                            <a:picLocks noChangeAspect="1" noChangeArrowheads="1"/>
                          </pic:cNvPicPr>
                        </pic:nvPicPr>
                        <pic:blipFill>
                          <a:blip r:embed="rId6"/>
                          <a:stretch>
                            <a:fillRect/>
                          </a:stretch>
                        </pic:blipFill>
                        <pic:spPr bwMode="auto">
                          <a:xfrm>
                            <a:off x="0" y="0"/>
                            <a:ext cx="3185795" cy="1800225"/>
                          </a:xfrm>
                          <a:prstGeom prst="rect">
                            <a:avLst/>
                          </a:prstGeom>
                        </pic:spPr>
                      </pic:pic>
                    </a:graphicData>
                  </a:graphic>
                </wp:inline>
              </w:drawing>
            </w:r>
          </w:p>
          <w:p w:rsidR="00CC50AF" w:rsidRDefault="00000000">
            <w:pPr>
              <w:pStyle w:val="N2"/>
            </w:pPr>
            <w:r>
              <w:t xml:space="preserve">Cette seconde vidéo présente l’offre de service opérationnelle du FIPHFP </w:t>
            </w:r>
            <w:r>
              <w:br/>
              <w:t xml:space="preserve">et les outils mis à disposition des employeurs pour accompagner </w:t>
            </w:r>
            <w:r>
              <w:br/>
              <w:t>qualitativement les agents en situation de handicap</w:t>
            </w:r>
          </w:p>
          <w:p w:rsidR="00CC50AF" w:rsidRDefault="00000000">
            <w:pPr>
              <w:pStyle w:val="NormalWeb"/>
              <w:ind w:left="227"/>
              <w:jc w:val="center"/>
            </w:pPr>
            <w:r>
              <w:rPr>
                <w:b/>
                <w:bCs/>
                <w:noProof/>
              </w:rPr>
              <w:drawing>
                <wp:inline distT="0" distB="0" distL="0" distR="0">
                  <wp:extent cx="3194685" cy="1800225"/>
                  <wp:effectExtent l="0" t="0" r="0" b="0"/>
                  <wp:docPr id="3" name="Vidéo services" descr="Vidéo de présentation de l'offre de service opérationnelle du FIPHF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éo services" descr="Vidéo de présentation de l'offre de service opérationnelle du FIPHFP">
                            <a:hlinkClick r:id="rId7"/>
                          </pic:cNvPr>
                          <pic:cNvPicPr>
                            <a:picLocks noChangeAspect="1" noChangeArrowheads="1"/>
                          </pic:cNvPicPr>
                        </pic:nvPicPr>
                        <pic:blipFill>
                          <a:blip r:embed="rId8"/>
                          <a:stretch>
                            <a:fillRect/>
                          </a:stretch>
                        </pic:blipFill>
                        <pic:spPr bwMode="auto">
                          <a:xfrm>
                            <a:off x="0" y="0"/>
                            <a:ext cx="3194685" cy="1800225"/>
                          </a:xfrm>
                          <a:prstGeom prst="rect">
                            <a:avLst/>
                          </a:prstGeom>
                        </pic:spPr>
                      </pic:pic>
                    </a:graphicData>
                  </a:graphic>
                </wp:inline>
              </w:drawing>
            </w:r>
          </w:p>
        </w:tc>
      </w:tr>
      <w:tr w:rsidR="00CC50AF">
        <w:tc>
          <w:tcPr>
            <w:tcW w:w="9638" w:type="dxa"/>
            <w:shd w:val="clear" w:color="auto" w:fill="23003E"/>
          </w:tcPr>
          <w:p w:rsidR="00CC50AF" w:rsidRDefault="00000000">
            <w:pPr>
              <w:pStyle w:val="N1"/>
            </w:pPr>
            <w:r>
              <w:t>Exemples d’appuis apportés par le FIPHFP</w:t>
            </w:r>
          </w:p>
        </w:tc>
      </w:tr>
      <w:tr w:rsidR="00CC50AF">
        <w:tc>
          <w:tcPr>
            <w:tcW w:w="9638" w:type="dxa"/>
          </w:tcPr>
          <w:p w:rsidR="00CC50AF" w:rsidRDefault="00000000">
            <w:pPr>
              <w:pStyle w:val="N2"/>
              <w:spacing w:before="170"/>
            </w:pPr>
            <w:r>
              <w:lastRenderedPageBreak/>
              <w:t>Témoignages</w:t>
            </w:r>
          </w:p>
          <w:p w:rsidR="00CC50AF" w:rsidRDefault="00000000">
            <w:pPr>
              <w:pStyle w:val="NormalWeb"/>
              <w:spacing w:after="0"/>
              <w:jc w:val="center"/>
            </w:pPr>
            <w:r>
              <w:t>Un reclassement réussi</w:t>
            </w:r>
          </w:p>
          <w:p w:rsidR="00CC50AF" w:rsidRDefault="00000000">
            <w:pPr>
              <w:pStyle w:val="NormalWeb"/>
              <w:spacing w:before="113" w:after="0"/>
              <w:jc w:val="center"/>
            </w:pPr>
            <w:r>
              <w:rPr>
                <w:noProof/>
              </w:rPr>
              <w:drawing>
                <wp:inline distT="0" distB="0" distL="0" distR="0">
                  <wp:extent cx="3195320" cy="1800225"/>
                  <wp:effectExtent l="0" t="0" r="0" b="0"/>
                  <wp:docPr id="4" name="Image3" descr="Vidéo &quot;un reclassement réussi&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Vidéo &quot;un reclassement réussi&quot;">
                            <a:hlinkClick r:id="rId9"/>
                          </pic:cNvPr>
                          <pic:cNvPicPr>
                            <a:picLocks noChangeAspect="1" noChangeArrowheads="1"/>
                          </pic:cNvPicPr>
                        </pic:nvPicPr>
                        <pic:blipFill>
                          <a:blip r:embed="rId10"/>
                          <a:stretch>
                            <a:fillRect/>
                          </a:stretch>
                        </pic:blipFill>
                        <pic:spPr bwMode="auto">
                          <a:xfrm>
                            <a:off x="0" y="0"/>
                            <a:ext cx="3195320" cy="1800225"/>
                          </a:xfrm>
                          <a:prstGeom prst="rect">
                            <a:avLst/>
                          </a:prstGeom>
                        </pic:spPr>
                      </pic:pic>
                    </a:graphicData>
                  </a:graphic>
                </wp:inline>
              </w:drawing>
            </w:r>
          </w:p>
          <w:p w:rsidR="00CC50AF" w:rsidRDefault="00000000">
            <w:pPr>
              <w:pStyle w:val="NormalWeb"/>
              <w:spacing w:before="227" w:after="0"/>
              <w:jc w:val="center"/>
            </w:pPr>
            <w:r>
              <w:t>L’apprentissage, une solution pour développer de nouvelles compétences</w:t>
            </w:r>
          </w:p>
          <w:p w:rsidR="00CC50AF" w:rsidRDefault="00000000">
            <w:pPr>
              <w:pStyle w:val="NormalWeb"/>
              <w:spacing w:before="227" w:after="0"/>
              <w:jc w:val="center"/>
            </w:pPr>
            <w:r>
              <w:rPr>
                <w:noProof/>
              </w:rPr>
              <w:drawing>
                <wp:inline distT="0" distB="0" distL="0" distR="0">
                  <wp:extent cx="3208655" cy="1800225"/>
                  <wp:effectExtent l="0" t="0" r="0" b="0"/>
                  <wp:docPr id="5" name="Image4 " descr="Vidéo témoignage d'Audr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 descr="Vidéo témoignage d'Audrey">
                            <a:hlinkClick r:id="rId11"/>
                          </pic:cNvPr>
                          <pic:cNvPicPr>
                            <a:picLocks noChangeAspect="1" noChangeArrowheads="1"/>
                          </pic:cNvPicPr>
                        </pic:nvPicPr>
                        <pic:blipFill>
                          <a:blip r:embed="rId12"/>
                          <a:stretch>
                            <a:fillRect/>
                          </a:stretch>
                        </pic:blipFill>
                        <pic:spPr bwMode="auto">
                          <a:xfrm>
                            <a:off x="0" y="0"/>
                            <a:ext cx="3208655" cy="1800225"/>
                          </a:xfrm>
                          <a:prstGeom prst="rect">
                            <a:avLst/>
                          </a:prstGeom>
                        </pic:spPr>
                      </pic:pic>
                    </a:graphicData>
                  </a:graphic>
                </wp:inline>
              </w:drawing>
            </w:r>
          </w:p>
          <w:p w:rsidR="00CC50AF" w:rsidRDefault="00000000">
            <w:pPr>
              <w:pStyle w:val="NormalWeb"/>
              <w:jc w:val="center"/>
            </w:pPr>
            <w:r>
              <w:t xml:space="preserve">Suite à un accident qui ne lui permettait plus d’assurer ses fonctions d’ATSEM, </w:t>
            </w:r>
            <w:r>
              <w:br/>
              <w:t xml:space="preserve">Aurore a bénéficié d’un bilan de compétences. </w:t>
            </w:r>
            <w:r>
              <w:br/>
              <w:t xml:space="preserve">A 61 ans, elle a repris ses études en CFA </w:t>
            </w:r>
            <w:r>
              <w:br/>
              <w:t>et est apprentie en tant qu’agent administratif en mairie.</w:t>
            </w:r>
          </w:p>
        </w:tc>
      </w:tr>
      <w:tr w:rsidR="00CC50AF">
        <w:tc>
          <w:tcPr>
            <w:tcW w:w="9638" w:type="dxa"/>
            <w:shd w:val="clear" w:color="auto" w:fill="23003E"/>
          </w:tcPr>
          <w:p w:rsidR="00CC50AF" w:rsidRDefault="00000000">
            <w:pPr>
              <w:pStyle w:val="N1"/>
              <w:spacing w:before="28" w:after="113"/>
            </w:pPr>
            <w:r>
              <w:t>Pour suivre l’actualité du FIPHFP et du Handi-Pacte</w:t>
            </w:r>
          </w:p>
          <w:tbl>
            <w:tblPr>
              <w:tblW w:w="2000" w:type="pct"/>
              <w:jc w:val="center"/>
              <w:tblLayout w:type="fixed"/>
              <w:tblCellMar>
                <w:top w:w="55" w:type="dxa"/>
                <w:left w:w="55" w:type="dxa"/>
                <w:bottom w:w="55" w:type="dxa"/>
                <w:right w:w="55" w:type="dxa"/>
              </w:tblCellMar>
              <w:tblLook w:val="04A0" w:firstRow="1" w:lastRow="0" w:firstColumn="1" w:lastColumn="0" w:noHBand="0" w:noVBand="1"/>
            </w:tblPr>
            <w:tblGrid>
              <w:gridCol w:w="953"/>
              <w:gridCol w:w="952"/>
              <w:gridCol w:w="952"/>
              <w:gridCol w:w="953"/>
            </w:tblGrid>
            <w:tr w:rsidR="00CC50AF">
              <w:trPr>
                <w:jc w:val="center"/>
              </w:trPr>
              <w:tc>
                <w:tcPr>
                  <w:tcW w:w="952" w:type="dxa"/>
                </w:tcPr>
                <w:p w:rsidR="00CC50AF" w:rsidRDefault="00000000">
                  <w:pPr>
                    <w:pStyle w:val="Contenudetableau"/>
                    <w:jc w:val="center"/>
                    <w:rPr>
                      <w:rFonts w:ascii="Arial" w:hAnsi="Arial"/>
                    </w:rPr>
                  </w:pPr>
                  <w:r>
                    <w:rPr>
                      <w:rFonts w:ascii="Arial" w:hAnsi="Arial"/>
                      <w:noProof/>
                    </w:rPr>
                    <w:drawing>
                      <wp:inline distT="0" distB="0" distL="0" distR="0">
                        <wp:extent cx="394970" cy="394970"/>
                        <wp:effectExtent l="0" t="0" r="0" b="0"/>
                        <wp:docPr id="6" name="Imag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13"/>
                                </pic:cNvPr>
                                <pic:cNvPicPr>
                                  <a:picLocks noChangeAspect="1" noChangeArrowheads="1"/>
                                </pic:cNvPicPr>
                              </pic:nvPicPr>
                              <pic:blipFill>
                                <a:blip r:embed="rId14"/>
                                <a:stretch>
                                  <a:fillRect/>
                                </a:stretch>
                              </pic:blipFill>
                              <pic:spPr bwMode="auto">
                                <a:xfrm>
                                  <a:off x="0" y="0"/>
                                  <a:ext cx="394970" cy="394970"/>
                                </a:xfrm>
                                <a:prstGeom prst="rect">
                                  <a:avLst/>
                                </a:prstGeom>
                              </pic:spPr>
                            </pic:pic>
                          </a:graphicData>
                        </a:graphic>
                      </wp:inline>
                    </w:drawing>
                  </w:r>
                </w:p>
              </w:tc>
              <w:tc>
                <w:tcPr>
                  <w:tcW w:w="952" w:type="dxa"/>
                </w:tcPr>
                <w:p w:rsidR="00CC50AF" w:rsidRDefault="00000000">
                  <w:pPr>
                    <w:pStyle w:val="Contenudetableau"/>
                    <w:jc w:val="center"/>
                    <w:rPr>
                      <w:rFonts w:ascii="Arial" w:hAnsi="Arial"/>
                    </w:rPr>
                  </w:pPr>
                  <w:r>
                    <w:rPr>
                      <w:rFonts w:ascii="Arial" w:hAnsi="Arial"/>
                      <w:noProof/>
                    </w:rPr>
                    <w:drawing>
                      <wp:inline distT="0" distB="0" distL="0" distR="0">
                        <wp:extent cx="394970" cy="394970"/>
                        <wp:effectExtent l="0" t="0" r="0" b="0"/>
                        <wp:docPr id="7" name="Imag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5">
                                  <a:hlinkClick r:id="rId15"/>
                                </pic:cNvPr>
                                <pic:cNvPicPr>
                                  <a:picLocks noChangeAspect="1" noChangeArrowheads="1"/>
                                </pic:cNvPicPr>
                              </pic:nvPicPr>
                              <pic:blipFill>
                                <a:blip r:embed="rId16"/>
                                <a:stretch>
                                  <a:fillRect/>
                                </a:stretch>
                              </pic:blipFill>
                              <pic:spPr bwMode="auto">
                                <a:xfrm>
                                  <a:off x="0" y="0"/>
                                  <a:ext cx="394970" cy="394970"/>
                                </a:xfrm>
                                <a:prstGeom prst="rect">
                                  <a:avLst/>
                                </a:prstGeom>
                              </pic:spPr>
                            </pic:pic>
                          </a:graphicData>
                        </a:graphic>
                      </wp:inline>
                    </w:drawing>
                  </w:r>
                </w:p>
              </w:tc>
              <w:tc>
                <w:tcPr>
                  <w:tcW w:w="952" w:type="dxa"/>
                </w:tcPr>
                <w:p w:rsidR="00CC50AF" w:rsidRDefault="00000000">
                  <w:pPr>
                    <w:pStyle w:val="Contenudetableau"/>
                    <w:jc w:val="center"/>
                    <w:rPr>
                      <w:rFonts w:ascii="Arial" w:hAnsi="Arial"/>
                    </w:rPr>
                  </w:pPr>
                  <w:r>
                    <w:rPr>
                      <w:rFonts w:ascii="Arial" w:hAnsi="Arial"/>
                      <w:noProof/>
                    </w:rPr>
                    <w:drawing>
                      <wp:inline distT="0" distB="0" distL="0" distR="0">
                        <wp:extent cx="402590" cy="402590"/>
                        <wp:effectExtent l="0" t="0" r="0" b="0"/>
                        <wp:docPr id="8" name="Imag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6">
                                  <a:hlinkClick r:id="rId17"/>
                                </pic:cNvPr>
                                <pic:cNvPicPr>
                                  <a:picLocks noChangeAspect="1" noChangeArrowheads="1"/>
                                </pic:cNvPicPr>
                              </pic:nvPicPr>
                              <pic:blipFill>
                                <a:blip r:embed="rId18"/>
                                <a:stretch>
                                  <a:fillRect/>
                                </a:stretch>
                              </pic:blipFill>
                              <pic:spPr bwMode="auto">
                                <a:xfrm>
                                  <a:off x="0" y="0"/>
                                  <a:ext cx="402590" cy="402590"/>
                                </a:xfrm>
                                <a:prstGeom prst="rect">
                                  <a:avLst/>
                                </a:prstGeom>
                              </pic:spPr>
                            </pic:pic>
                          </a:graphicData>
                        </a:graphic>
                      </wp:inline>
                    </w:drawing>
                  </w:r>
                </w:p>
              </w:tc>
              <w:tc>
                <w:tcPr>
                  <w:tcW w:w="953" w:type="dxa"/>
                </w:tcPr>
                <w:p w:rsidR="00CC50AF" w:rsidRDefault="00000000">
                  <w:pPr>
                    <w:pStyle w:val="Contenudetableau"/>
                    <w:jc w:val="center"/>
                    <w:rPr>
                      <w:rFonts w:ascii="Arial" w:hAnsi="Arial"/>
                    </w:rPr>
                  </w:pPr>
                  <w:r>
                    <w:rPr>
                      <w:rFonts w:ascii="Arial" w:hAnsi="Arial"/>
                      <w:noProof/>
                    </w:rPr>
                    <w:drawing>
                      <wp:inline distT="0" distB="0" distL="0" distR="0">
                        <wp:extent cx="431800" cy="431800"/>
                        <wp:effectExtent l="0" t="0" r="0" b="0"/>
                        <wp:docPr id="9" name="Imag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7">
                                  <a:hlinkClick r:id="rId19"/>
                                </pic:cNvPr>
                                <pic:cNvPicPr>
                                  <a:picLocks noChangeAspect="1" noChangeArrowheads="1"/>
                                </pic:cNvPicPr>
                              </pic:nvPicPr>
                              <pic:blipFill>
                                <a:blip r:embed="rId20"/>
                                <a:stretch>
                                  <a:fillRect/>
                                </a:stretch>
                              </pic:blipFill>
                              <pic:spPr bwMode="auto">
                                <a:xfrm>
                                  <a:off x="0" y="0"/>
                                  <a:ext cx="431800" cy="431800"/>
                                </a:xfrm>
                                <a:prstGeom prst="rect">
                                  <a:avLst/>
                                </a:prstGeom>
                              </pic:spPr>
                            </pic:pic>
                          </a:graphicData>
                        </a:graphic>
                      </wp:inline>
                    </w:drawing>
                  </w:r>
                </w:p>
              </w:tc>
            </w:tr>
          </w:tbl>
          <w:p w:rsidR="00CC50AF" w:rsidRDefault="00CC50AF">
            <w:pPr>
              <w:pStyle w:val="N1"/>
            </w:pPr>
          </w:p>
        </w:tc>
      </w:tr>
      <w:tr w:rsidR="00CC50AF">
        <w:tc>
          <w:tcPr>
            <w:tcW w:w="9638" w:type="dxa"/>
          </w:tcPr>
          <w:tbl>
            <w:tblPr>
              <w:tblW w:w="4100" w:type="pct"/>
              <w:tblLayout w:type="fixed"/>
              <w:tblCellMar>
                <w:top w:w="284" w:type="dxa"/>
                <w:left w:w="113" w:type="dxa"/>
                <w:right w:w="113" w:type="dxa"/>
              </w:tblCellMar>
              <w:tblLook w:val="04A0" w:firstRow="1" w:lastRow="0" w:firstColumn="1" w:lastColumn="0" w:noHBand="0" w:noVBand="1"/>
            </w:tblPr>
            <w:tblGrid>
              <w:gridCol w:w="3902"/>
              <w:gridCol w:w="3908"/>
            </w:tblGrid>
            <w:tr w:rsidR="00CC50AF">
              <w:tc>
                <w:tcPr>
                  <w:tcW w:w="3902" w:type="dxa"/>
                </w:tcPr>
                <w:p w:rsidR="00CC50AF" w:rsidRDefault="00000000">
                  <w:pPr>
                    <w:pStyle w:val="Contenudetableau"/>
                    <w:jc w:val="right"/>
                    <w:rPr>
                      <w:rFonts w:ascii="Arial" w:hAnsi="Arial"/>
                    </w:rPr>
                  </w:pPr>
                  <w:r>
                    <w:rPr>
                      <w:rFonts w:ascii="Arial" w:hAnsi="Arial"/>
                      <w:noProof/>
                    </w:rPr>
                    <w:drawing>
                      <wp:inline distT="0" distB="0" distL="0" distR="0">
                        <wp:extent cx="821055" cy="828040"/>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noChangeArrowheads="1"/>
                                </pic:cNvPicPr>
                              </pic:nvPicPr>
                              <pic:blipFill>
                                <a:blip r:embed="rId21"/>
                                <a:stretch>
                                  <a:fillRect/>
                                </a:stretch>
                              </pic:blipFill>
                              <pic:spPr bwMode="auto">
                                <a:xfrm>
                                  <a:off x="0" y="0"/>
                                  <a:ext cx="821055" cy="828040"/>
                                </a:xfrm>
                                <a:prstGeom prst="rect">
                                  <a:avLst/>
                                </a:prstGeom>
                              </pic:spPr>
                            </pic:pic>
                          </a:graphicData>
                        </a:graphic>
                      </wp:inline>
                    </w:drawing>
                  </w:r>
                </w:p>
              </w:tc>
              <w:tc>
                <w:tcPr>
                  <w:tcW w:w="3907" w:type="dxa"/>
                </w:tcPr>
                <w:p w:rsidR="00CC50AF" w:rsidRDefault="00000000">
                  <w:pPr>
                    <w:pStyle w:val="Contenudetableau"/>
                    <w:rPr>
                      <w:rFonts w:ascii="Arial" w:hAnsi="Arial"/>
                    </w:rPr>
                  </w:pPr>
                  <w:r>
                    <w:rPr>
                      <w:rFonts w:ascii="Arial" w:hAnsi="Arial"/>
                      <w:noProof/>
                    </w:rPr>
                    <w:drawing>
                      <wp:inline distT="0" distB="0" distL="0" distR="0">
                        <wp:extent cx="1969135" cy="828040"/>
                        <wp:effectExtent l="0" t="0" r="0" b="0"/>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8"/>
                                <pic:cNvPicPr>
                                  <a:picLocks noChangeAspect="1" noChangeArrowheads="1"/>
                                </pic:cNvPicPr>
                              </pic:nvPicPr>
                              <pic:blipFill>
                                <a:blip r:embed="rId22"/>
                                <a:srcRect b="17332"/>
                                <a:stretch>
                                  <a:fillRect/>
                                </a:stretch>
                              </pic:blipFill>
                              <pic:spPr bwMode="auto">
                                <a:xfrm>
                                  <a:off x="0" y="0"/>
                                  <a:ext cx="1969135" cy="828040"/>
                                </a:xfrm>
                                <a:prstGeom prst="rect">
                                  <a:avLst/>
                                </a:prstGeom>
                              </pic:spPr>
                            </pic:pic>
                          </a:graphicData>
                        </a:graphic>
                      </wp:inline>
                    </w:drawing>
                  </w:r>
                </w:p>
              </w:tc>
            </w:tr>
          </w:tbl>
          <w:p w:rsidR="00CC50AF" w:rsidRDefault="00CC50AF">
            <w:pPr>
              <w:pStyle w:val="Contenudetableau"/>
              <w:rPr>
                <w:rFonts w:ascii="Arial" w:hAnsi="Arial"/>
              </w:rPr>
            </w:pPr>
          </w:p>
        </w:tc>
      </w:tr>
      <w:tr w:rsidR="00CC50AF">
        <w:tc>
          <w:tcPr>
            <w:tcW w:w="9638" w:type="dxa"/>
          </w:tcPr>
          <w:p w:rsidR="00CC50AF" w:rsidRDefault="00000000">
            <w:pPr>
              <w:pStyle w:val="NormalWeb"/>
              <w:widowControl w:val="0"/>
              <w:spacing w:before="113"/>
              <w:jc w:val="center"/>
              <w:rPr>
                <w:rFonts w:cs="Arial"/>
                <w:color w:val="92B93C"/>
                <w:sz w:val="18"/>
                <w:szCs w:val="18"/>
              </w:rPr>
            </w:pPr>
            <w:r>
              <w:rPr>
                <w:rFonts w:cs="Arial"/>
                <w:color w:val="92B93C"/>
                <w:sz w:val="18"/>
                <w:szCs w:val="18"/>
              </w:rPr>
              <w:t>Ce mail est édité par le Handi-Pacte du FIPHFP Antilles-Guyane</w:t>
            </w:r>
            <w:r>
              <w:rPr>
                <w:rFonts w:cs="Arial"/>
                <w:color w:val="92B93C"/>
                <w:sz w:val="18"/>
                <w:szCs w:val="18"/>
              </w:rPr>
              <w:br/>
              <w:t xml:space="preserve">Contact : Stéphane </w:t>
            </w:r>
            <w:proofErr w:type="spellStart"/>
            <w:r>
              <w:rPr>
                <w:rFonts w:cs="Arial"/>
                <w:color w:val="92B93C"/>
                <w:sz w:val="18"/>
                <w:szCs w:val="18"/>
              </w:rPr>
              <w:t>Gainaux</w:t>
            </w:r>
            <w:proofErr w:type="spellEnd"/>
            <w:r>
              <w:rPr>
                <w:rFonts w:cs="Arial"/>
                <w:color w:val="92B93C"/>
                <w:sz w:val="18"/>
                <w:szCs w:val="18"/>
              </w:rPr>
              <w:t xml:space="preserve"> - </w:t>
            </w:r>
            <w:hyperlink r:id="rId23">
              <w:r>
                <w:rPr>
                  <w:rStyle w:val="Lienhypertexte"/>
                  <w:rFonts w:cs="Arial"/>
                  <w:color w:val="92B93C"/>
                  <w:sz w:val="18"/>
                  <w:szCs w:val="18"/>
                </w:rPr>
                <w:t>contact@ehconseil.fr</w:t>
              </w:r>
            </w:hyperlink>
            <w:r>
              <w:rPr>
                <w:rFonts w:cs="Arial"/>
                <w:color w:val="92B93C"/>
                <w:sz w:val="18"/>
                <w:szCs w:val="18"/>
              </w:rPr>
              <w:t xml:space="preserve"> - téléphone 03 81 84 17 63</w:t>
            </w:r>
          </w:p>
          <w:p w:rsidR="00CC50AF" w:rsidRDefault="00000000">
            <w:pPr>
              <w:widowControl w:val="0"/>
              <w:jc w:val="center"/>
              <w:outlineLvl w:val="0"/>
              <w:rPr>
                <w:rFonts w:ascii="Arial" w:eastAsia="Times New Roman" w:hAnsi="Arial" w:cs="Arial"/>
                <w:b/>
                <w:bCs/>
                <w:color w:val="FFFFFF"/>
                <w:sz w:val="33"/>
                <w:szCs w:val="33"/>
                <w:lang w:eastAsia="fr-FR"/>
              </w:rPr>
            </w:pPr>
            <w:hyperlink r:id="rId24" w:tgtFrame="_blank">
              <w:r>
                <w:rPr>
                  <w:rStyle w:val="Lienhypertexte"/>
                  <w:rFonts w:ascii="Arial" w:hAnsi="Arial" w:cs="Arial"/>
                  <w:color w:val="C9442A"/>
                  <w:sz w:val="18"/>
                  <w:szCs w:val="18"/>
                </w:rPr>
                <w:t>S'abonner à la lettre d'information du FIPHFP</w:t>
              </w:r>
            </w:hyperlink>
          </w:p>
        </w:tc>
      </w:tr>
    </w:tbl>
    <w:p w:rsidR="00CC50AF" w:rsidRDefault="00CC50AF">
      <w:pPr>
        <w:pStyle w:val="NormalWeb"/>
      </w:pPr>
    </w:p>
    <w:sectPr w:rsidR="00CC50AF">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luto Light">
    <w:altName w:val="Calibri"/>
    <w:panose1 w:val="020B0604020202020204"/>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8"/>
    <w:family w:val="auto"/>
    <w:pitch w:val="variable"/>
    <w:sig w:usb0="A10102FF" w:usb1="38CF7CFA" w:usb2="00010016" w:usb3="00000000" w:csb0="001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AF"/>
    <w:rsid w:val="00965006"/>
    <w:rsid w:val="00CC50A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D269292"/>
  <w15:docId w15:val="{4010FEA6-15FB-2A40-9069-D4BCE321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luto Light" w:eastAsia="NSimSun" w:hAnsi="Pluto Light" w:cs="Lucida Sans"/>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00FF"/>
      <w:u w:val="single"/>
    </w:rPr>
  </w:style>
  <w:style w:type="character" w:styleId="Lienhypertextesuivivisit">
    <w:name w:val="FollowedHyperlink"/>
    <w:rPr>
      <w:color w:val="800000"/>
      <w:u w:val="single"/>
    </w:rPr>
  </w:style>
  <w:style w:type="character" w:customStyle="1" w:styleId="Puces">
    <w:name w:val="Puces"/>
    <w:qFormat/>
    <w:rPr>
      <w:rFonts w:ascii="OpenSymbol" w:eastAsia="OpenSymbol" w:hAnsi="OpenSymbol" w:cs="OpenSymbol"/>
    </w:rPr>
  </w:style>
  <w:style w:type="paragraph" w:styleId="Titre">
    <w:name w:val="Title"/>
    <w:basedOn w:val="Normal"/>
    <w:next w:val="Corpsdetexte"/>
    <w:uiPriority w:val="10"/>
    <w:qFormat/>
    <w:pPr>
      <w:keepNext/>
      <w:spacing w:before="240" w:after="120"/>
    </w:pPr>
    <w:rPr>
      <w:rFonts w:eastAsia="Microsoft YaHei"/>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widowControl w:val="0"/>
      <w:suppressLineNumbers/>
    </w:pPr>
  </w:style>
  <w:style w:type="paragraph" w:styleId="NormalWeb">
    <w:name w:val="Normal (Web)"/>
    <w:basedOn w:val="Normal"/>
    <w:qFormat/>
    <w:pPr>
      <w:spacing w:after="170"/>
    </w:pPr>
    <w:rPr>
      <w:rFonts w:ascii="Arial" w:eastAsia="Times New Roman" w:hAnsi="Arial" w:cs="Times New Roman"/>
      <w:sz w:val="20"/>
      <w:lang w:eastAsia="fr-FR"/>
    </w:rPr>
  </w:style>
  <w:style w:type="paragraph" w:customStyle="1" w:styleId="N1">
    <w:name w:val="N1"/>
    <w:qFormat/>
    <w:pPr>
      <w:jc w:val="center"/>
      <w:outlineLvl w:val="0"/>
    </w:pPr>
    <w:rPr>
      <w:rFonts w:ascii="Arial" w:hAnsi="Arial"/>
      <w:b/>
    </w:rPr>
  </w:style>
  <w:style w:type="paragraph" w:customStyle="1" w:styleId="Titredetableau">
    <w:name w:val="Titre de tableau"/>
    <w:basedOn w:val="Contenudetableau"/>
    <w:qFormat/>
    <w:pPr>
      <w:jc w:val="center"/>
    </w:pPr>
    <w:rPr>
      <w:b/>
      <w:bCs/>
    </w:rPr>
  </w:style>
  <w:style w:type="paragraph" w:customStyle="1" w:styleId="N2">
    <w:name w:val="N2"/>
    <w:qFormat/>
    <w:pPr>
      <w:spacing w:before="227" w:after="113"/>
      <w:jc w:val="center"/>
      <w:outlineLvl w:val="1"/>
    </w:pPr>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fiphfp.fr/"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www.youtube.com/watch?v=ocMhIv9EI5s" TargetMode="External"/><Relationship Id="rId12" Type="http://schemas.openxmlformats.org/officeDocument/2006/relationships/image" Target="media/image5.png"/><Relationship Id="rId17" Type="http://schemas.openxmlformats.org/officeDocument/2006/relationships/hyperlink" Target="https://fr.linkedin.com/company/fiphfp"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brHrDUU9Vnw" TargetMode="External"/><Relationship Id="rId24" Type="http://schemas.openxmlformats.org/officeDocument/2006/relationships/hyperlink" Target="http://www.fiphfp.fr/newsletter/subscribe" TargetMode="External"/><Relationship Id="rId5" Type="http://schemas.openxmlformats.org/officeDocument/2006/relationships/hyperlink" Target="https://www.youtube.com/watch?v=qoeasV-23IA" TargetMode="External"/><Relationship Id="rId15" Type="http://schemas.openxmlformats.org/officeDocument/2006/relationships/hyperlink" Target="https://twitter.com/FIPHFP" TargetMode="External"/><Relationship Id="rId23" Type="http://schemas.openxmlformats.org/officeDocument/2006/relationships/hyperlink" Target="mailto:contact@ehconseil.fr" TargetMode="External"/><Relationship Id="rId10" Type="http://schemas.openxmlformats.org/officeDocument/2006/relationships/image" Target="media/image4.png"/><Relationship Id="rId19" Type="http://schemas.openxmlformats.org/officeDocument/2006/relationships/hyperlink" Target="https://www.youtube.com/channel/UCGepM40FTwgfGMwYVlvYuTg" TargetMode="External"/><Relationship Id="rId4" Type="http://schemas.openxmlformats.org/officeDocument/2006/relationships/image" Target="media/image1.jpeg"/><Relationship Id="rId9" Type="http://schemas.openxmlformats.org/officeDocument/2006/relationships/hyperlink" Target="https://www.youtube.com/watch?v=JVf_dWby9lI" TargetMode="External"/><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2</Pages>
  <Words>284</Words>
  <Characters>1564</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Microsoft Office User</cp:lastModifiedBy>
  <cp:revision>13</cp:revision>
  <dcterms:created xsi:type="dcterms:W3CDTF">2023-10-19T17:21:00Z</dcterms:created>
  <dcterms:modified xsi:type="dcterms:W3CDTF">2023-10-23T14:45:00Z</dcterms:modified>
  <dc:language>fr-FR</dc:language>
</cp:coreProperties>
</file>