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sz w:val="22"/>
          <w:szCs w:val="22"/>
          <w:rtl w:val="0"/>
        </w:rPr>
        <w:t xml:space="preserve">Communiqué de presse</w:t>
      </w:r>
      <w:r w:rsidDel="00000000" w:rsidR="00000000" w:rsidRPr="00000000">
        <w:rPr>
          <w:rtl w:val="0"/>
        </w:rPr>
      </w:r>
    </w:p>
    <w:p w:rsidR="00000000" w:rsidDel="00000000" w:rsidP="00000000" w:rsidRDefault="00000000" w:rsidRPr="00000000" w14:paraId="00000002">
      <w:pPr>
        <w:jc w:val="both"/>
        <w:rPr>
          <w:rFonts w:ascii="Arial" w:cs="Arial" w:eastAsia="Arial" w:hAnsi="Arial"/>
        </w:rPr>
      </w:pPr>
      <w:r w:rsidDel="00000000" w:rsidR="00000000" w:rsidRPr="00000000">
        <w:rPr>
          <w:rFonts w:ascii="Arial" w:cs="Arial" w:eastAsia="Arial" w:hAnsi="Arial"/>
          <w:sz w:val="22"/>
          <w:szCs w:val="22"/>
          <w:rtl w:val="0"/>
        </w:rPr>
        <w:t xml:space="preserve">Paris, le 1er février 2023</w:t>
      </w: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-520699</wp:posOffset>
                </wp:positionH>
                <wp:positionV relativeFrom="paragraph">
                  <wp:posOffset>0</wp:posOffset>
                </wp:positionV>
                <wp:extent cx="489585" cy="259080"/>
                <wp:effectExtent b="0" l="0" r="0" t="0"/>
                <wp:wrapTopAndBottom distB="0" distT="0"/>
                <wp:docPr id="95" name=""/>
                <a:graphic>
                  <a:graphicData uri="http://schemas.microsoft.com/office/word/2010/wordprocessingShape">
                    <wps:wsp>
                      <wps:cNvSpPr/>
                      <wps:cNvPr id="4" name="Shape 4"/>
                      <wps:spPr>
                        <a:xfrm>
                          <a:off x="5115495" y="3664748"/>
                          <a:ext cx="461010" cy="230505"/>
                        </a:xfrm>
                        <a:custGeom>
                          <a:rect b="b" l="l" r="r" t="t"/>
                          <a:pathLst>
                            <a:path extrusionOk="0" h="363" w="726">
                              <a:moveTo>
                                <a:pt x="725" y="0"/>
                              </a:moveTo>
                              <a:lnTo>
                                <a:pt x="0" y="0"/>
                              </a:lnTo>
                              <a:lnTo>
                                <a:pt x="7" y="73"/>
                              </a:lnTo>
                              <a:lnTo>
                                <a:pt x="29" y="142"/>
                              </a:lnTo>
                              <a:lnTo>
                                <a:pt x="62" y="203"/>
                              </a:lnTo>
                              <a:lnTo>
                                <a:pt x="106" y="257"/>
                              </a:lnTo>
                              <a:lnTo>
                                <a:pt x="160" y="301"/>
                              </a:lnTo>
                              <a:lnTo>
                                <a:pt x="222" y="335"/>
                              </a:lnTo>
                              <a:lnTo>
                                <a:pt x="290" y="356"/>
                              </a:lnTo>
                              <a:lnTo>
                                <a:pt x="363" y="363"/>
                              </a:lnTo>
                              <a:lnTo>
                                <a:pt x="436" y="356"/>
                              </a:lnTo>
                              <a:lnTo>
                                <a:pt x="504" y="335"/>
                              </a:lnTo>
                              <a:lnTo>
                                <a:pt x="566" y="301"/>
                              </a:lnTo>
                              <a:lnTo>
                                <a:pt x="619" y="257"/>
                              </a:lnTo>
                              <a:lnTo>
                                <a:pt x="663" y="203"/>
                              </a:lnTo>
                              <a:lnTo>
                                <a:pt x="697" y="142"/>
                              </a:lnTo>
                              <a:lnTo>
                                <a:pt x="718" y="73"/>
                              </a:lnTo>
                              <a:lnTo>
                                <a:pt x="725" y="0"/>
                              </a:lnTo>
                              <a:close/>
                            </a:path>
                          </a:pathLst>
                        </a:custGeom>
                        <a:solidFill>
                          <a:srgbClr val="F15B4E"/>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-520699</wp:posOffset>
                </wp:positionH>
                <wp:positionV relativeFrom="paragraph">
                  <wp:posOffset>0</wp:posOffset>
                </wp:positionV>
                <wp:extent cx="489585" cy="259080"/>
                <wp:effectExtent b="0" l="0" r="0" t="0"/>
                <wp:wrapTopAndBottom distB="0" distT="0"/>
                <wp:docPr id="9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89585" cy="259080"/>
                        </a:xfrm>
                        <a:prstGeom prst="rect"/>
                        <a:ln/>
                      </pic:spPr>
                    </pic:pic>
                  </a:graphicData>
                </a:graphic>
              </wp:anchor>
            </w:drawing>
          </mc:Fallback>
        </mc:AlternateContent>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color w:val="f15b4e"/>
          <w:sz w:val="36"/>
          <w:szCs w:val="36"/>
        </w:rPr>
      </w:pPr>
      <w:r w:rsidDel="00000000" w:rsidR="00000000" w:rsidRPr="00000000">
        <w:rPr>
          <w:rFonts w:ascii="Arial" w:cs="Arial" w:eastAsia="Arial" w:hAnsi="Arial"/>
          <w:b w:val="1"/>
          <w:color w:val="f15b4e"/>
          <w:sz w:val="36"/>
          <w:szCs w:val="36"/>
          <w:rtl w:val="0"/>
        </w:rPr>
        <w:t xml:space="preserve">Marine Neuville est nommée Directrice du FIPHFP</w:t>
      </w:r>
    </w:p>
    <w:p w:rsidR="00000000" w:rsidDel="00000000" w:rsidP="00000000" w:rsidRDefault="00000000" w:rsidRPr="00000000" w14:paraId="00000006">
      <w:pPr>
        <w:jc w:val="both"/>
        <w:rPr>
          <w:rFonts w:ascii="Arial" w:cs="Arial" w:eastAsia="Arial" w:hAnsi="Arial"/>
          <w:b w:val="1"/>
          <w:color w:val="f15b4e"/>
          <w:sz w:val="28"/>
          <w:szCs w:val="28"/>
        </w:rPr>
      </w:pPr>
      <w:r w:rsidDel="00000000" w:rsidR="00000000" w:rsidRPr="00000000">
        <w:rPr>
          <w:rFonts w:ascii="Arial" w:cs="Arial" w:eastAsia="Arial" w:hAnsi="Arial"/>
          <w:b w:val="1"/>
          <w:color w:val="f15b4e"/>
          <w:sz w:val="28"/>
          <w:szCs w:val="28"/>
          <w:rtl w:val="0"/>
        </w:rPr>
        <w:t xml:space="preserve"> </w:t>
      </w:r>
    </w:p>
    <w:p w:rsidR="00000000" w:rsidDel="00000000" w:rsidP="00000000" w:rsidRDefault="00000000" w:rsidRPr="00000000" w14:paraId="0000000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Marine Neuville a pris ses fonctions de Directrice du Fonds  d’insertion des personnes handicapées dans la Fonction publique ce 1</w:t>
      </w:r>
      <w:r w:rsidDel="00000000" w:rsidR="00000000" w:rsidRPr="00000000">
        <w:rPr>
          <w:rFonts w:ascii="Arial" w:cs="Arial" w:eastAsia="Arial" w:hAnsi="Arial"/>
          <w:b w:val="1"/>
          <w:sz w:val="22"/>
          <w:szCs w:val="22"/>
          <w:vertAlign w:val="superscript"/>
          <w:rtl w:val="0"/>
        </w:rPr>
        <w:t xml:space="preserve">er</w:t>
      </w:r>
      <w:r w:rsidDel="00000000" w:rsidR="00000000" w:rsidRPr="00000000">
        <w:rPr>
          <w:rFonts w:ascii="Arial" w:cs="Arial" w:eastAsia="Arial" w:hAnsi="Arial"/>
          <w:b w:val="1"/>
          <w:sz w:val="22"/>
          <w:szCs w:val="22"/>
          <w:rtl w:val="0"/>
        </w:rPr>
        <w:t xml:space="preserve"> février dernier.</w:t>
      </w:r>
    </w:p>
    <w:p w:rsidR="00000000" w:rsidDel="00000000" w:rsidP="00000000" w:rsidRDefault="00000000" w:rsidRPr="00000000" w14:paraId="0000000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Marine Neuville a </w:t>
      </w:r>
      <w:r w:rsidDel="00000000" w:rsidR="00000000" w:rsidRPr="00000000">
        <w:rPr>
          <w:rFonts w:ascii="Arial" w:cs="Arial" w:eastAsia="Arial" w:hAnsi="Arial"/>
          <w:sz w:val="22"/>
          <w:szCs w:val="22"/>
          <w:rtl w:val="0"/>
        </w:rPr>
        <w:t xml:space="preserve">débuté</w:t>
      </w:r>
      <w:r w:rsidDel="00000000" w:rsidR="00000000" w:rsidRPr="00000000">
        <w:rPr>
          <w:rFonts w:ascii="Arial" w:cs="Arial" w:eastAsia="Arial" w:hAnsi="Arial"/>
          <w:sz w:val="22"/>
          <w:szCs w:val="22"/>
          <w:rtl w:val="0"/>
        </w:rPr>
        <w:t xml:space="preserve"> sa carrière en 1998 en tant que Secrétaire générale adjointe à la direction de la vie locale et régionale (DVLR) de la Mairie du XV</w:t>
      </w:r>
      <w:r w:rsidDel="00000000" w:rsidR="00000000" w:rsidRPr="00000000">
        <w:rPr>
          <w:rFonts w:ascii="Arial" w:cs="Arial" w:eastAsia="Arial" w:hAnsi="Arial"/>
          <w:sz w:val="22"/>
          <w:szCs w:val="22"/>
          <w:vertAlign w:val="superscript"/>
          <w:rtl w:val="0"/>
        </w:rPr>
        <w:t xml:space="preserve">ème</w:t>
      </w:r>
      <w:r w:rsidDel="00000000" w:rsidR="00000000" w:rsidRPr="00000000">
        <w:rPr>
          <w:rFonts w:ascii="Arial" w:cs="Arial" w:eastAsia="Arial" w:hAnsi="Arial"/>
          <w:sz w:val="22"/>
          <w:szCs w:val="22"/>
          <w:rtl w:val="0"/>
        </w:rPr>
        <w:t xml:space="preserve"> arrondissement de la ville de Paris. Elle a travaillé pour la ville de Paris jusqu’en 2016, occupant tour à tour les postes de Cheffe du Bureau des affaires financières à la DIrection de la jeunesse et des sports (DJS), Cheffe du Bureau de gestion des personnels à la Direction des affaires sociales (DASCO), Chargée de mission auprès du Secrétaire général adjoint du secrétariat général et Responsable de la mission analyses, prévisions et emploi auprès du directeur au sein de la Direction des ressources humaines.</w:t>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2017, elle quitte la ville de Paris pour rejoindre le Ministère du Travail en tant que Responsable de la Mission emploi des travailleurs handicapés à la Direction générale à l’emploi et à la formation professionnelle (DGEFP), poste qu’elle occupera jusqu’en 2019.</w:t>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2020, elle devient Directrice du Département Développement au sein de la Direction des politiques sociales de la Caisse des dépôts et consignations.</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ind w:left="0"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sz w:val="22"/>
          <w:szCs w:val="22"/>
          <w:highlight w:val="white"/>
          <w:rtl w:val="0"/>
        </w:rPr>
        <w:t xml:space="preserve">Je suis très heureuse de rejoindre le FIPHFP. L’insertion des personnes en situation de handicap dans la Fonction publique est un enjeu essentiel d'une société inclusive. J'ai hâte de mener à bien les projets du Fonds avec tous les collaborateurs, à commencer par le déploiement du programme exceptionnel en 2023.</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i w:val="1"/>
          <w:color w:val="f15b4e"/>
          <w:sz w:val="22"/>
          <w:szCs w:val="22"/>
          <w:rtl w:val="0"/>
        </w:rPr>
        <w:t xml:space="preserve">Marine Neuville, Directrice générale du FIPHFP.</w:t>
      </w:r>
      <w:r w:rsidDel="00000000" w:rsidR="00000000" w:rsidRPr="00000000">
        <w:rPr>
          <w:rtl w:val="0"/>
        </w:rPr>
      </w:r>
    </w:p>
    <w:p w:rsidR="00000000" w:rsidDel="00000000" w:rsidP="00000000" w:rsidRDefault="00000000" w:rsidRPr="00000000" w14:paraId="00000010">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0" w:firstLine="0"/>
        <w:jc w:val="both"/>
        <w:rPr>
          <w:rFonts w:ascii="Arial" w:cs="Arial" w:eastAsia="Arial" w:hAnsi="Arial"/>
          <w:color w:val="f15b4e"/>
          <w:sz w:val="28"/>
          <w:szCs w:val="28"/>
        </w:rPr>
      </w:pPr>
      <w:r w:rsidDel="00000000" w:rsidR="00000000" w:rsidRPr="00000000">
        <w:rPr>
          <w:rFonts w:ascii="Arial" w:cs="Arial" w:eastAsia="Arial" w:hAnsi="Arial"/>
          <w:i w:val="1"/>
          <w:sz w:val="22"/>
          <w:szCs w:val="22"/>
          <w:rtl w:val="0"/>
        </w:rPr>
        <w:t xml:space="preserve">« Au nom du Conseil national, je tiens à souhaiter la bienvenue à Marine Neuville au sein du FIPHFP. Grâce à son expérience et son profil exemplaire, je n’ai aucun doute qu’elle parviendra à relever tous les défis qui se présenteront, à commencer par le programme exceptionnel, enjeu majeur de l’année 2023.” - </w:t>
      </w:r>
      <w:r w:rsidDel="00000000" w:rsidR="00000000" w:rsidRPr="00000000">
        <w:rPr>
          <w:rFonts w:ascii="Arial" w:cs="Arial" w:eastAsia="Arial" w:hAnsi="Arial"/>
          <w:i w:val="1"/>
          <w:color w:val="f15b4e"/>
          <w:sz w:val="22"/>
          <w:szCs w:val="22"/>
          <w:rtl w:val="0"/>
        </w:rPr>
        <w:t xml:space="preserve">Françoise Descamps-Crosnier</w:t>
      </w:r>
      <w:r w:rsidDel="00000000" w:rsidR="00000000" w:rsidRPr="00000000">
        <w:rPr>
          <w:rFonts w:ascii="Arial" w:cs="Arial" w:eastAsia="Arial" w:hAnsi="Arial"/>
          <w:i w:val="1"/>
          <w:color w:val="f15b4e"/>
          <w:sz w:val="22"/>
          <w:szCs w:val="22"/>
          <w:rtl w:val="0"/>
        </w:rPr>
        <w:t xml:space="preserve">, Présidente du FIPHFP.</w:t>
      </w:r>
      <w:r w:rsidDel="00000000" w:rsidR="00000000" w:rsidRPr="00000000">
        <w:rPr>
          <w:rtl w:val="0"/>
        </w:rPr>
      </w:r>
    </w:p>
    <w:p w:rsidR="00000000" w:rsidDel="00000000" w:rsidP="00000000" w:rsidRDefault="00000000" w:rsidRPr="00000000" w14:paraId="00000012">
      <w:pPr>
        <w:jc w:val="both"/>
        <w:rPr>
          <w:rFonts w:ascii="Arial" w:cs="Arial" w:eastAsia="Arial" w:hAnsi="Arial"/>
          <w:color w:val="f15b4e"/>
          <w:sz w:val="28"/>
          <w:szCs w:val="28"/>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b w:val="1"/>
          <w:color w:val="f15b4e"/>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b w:val="1"/>
          <w:color w:val="f15b4e"/>
        </w:rPr>
      </w:pPr>
      <w:r w:rsidDel="00000000" w:rsidR="00000000" w:rsidRPr="00000000">
        <w:rPr>
          <w:rtl w:val="0"/>
        </w:rPr>
      </w:r>
    </w:p>
    <w:p w:rsidR="00000000" w:rsidDel="00000000" w:rsidP="00000000" w:rsidRDefault="00000000" w:rsidRPr="00000000" w14:paraId="00000015">
      <w:pPr>
        <w:spacing w:line="360" w:lineRule="auto"/>
        <w:jc w:val="both"/>
        <w:rPr>
          <w:rFonts w:ascii="Arial" w:cs="Arial" w:eastAsia="Arial" w:hAnsi="Arial"/>
          <w:b w:val="1"/>
          <w:color w:val="f15b4e"/>
        </w:rPr>
      </w:pPr>
      <w:r w:rsidDel="00000000" w:rsidR="00000000" w:rsidRPr="00000000">
        <w:rPr>
          <w:rFonts w:ascii="Arial" w:cs="Arial" w:eastAsia="Arial" w:hAnsi="Arial"/>
          <w:b w:val="1"/>
          <w:color w:val="f15b4e"/>
          <w:rtl w:val="0"/>
        </w:rPr>
        <w:t xml:space="preserve">À propos du FIPHFP</w:t>
      </w:r>
    </w:p>
    <w:p w:rsidR="00000000" w:rsidDel="00000000" w:rsidP="00000000" w:rsidRDefault="00000000" w:rsidRPr="00000000" w14:paraId="00000016">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(Fonction publique d’État, Fonction publique territoriale et Fonction publique hospitalière). Il accompagne les employeurs publics à mettre en œuvre des politiques d’inclusions professionnelles à impact et à atteindre le taux d’emploi légal de 6%, contribuant ainsi au changement de regard sur le handicap. Depuis sa création, le taux d’emploi légal dans la Fonction publique est passé de 3,74 % en 2006 à 5,</w:t>
      </w:r>
      <w:r w:rsidDel="00000000" w:rsidR="00000000" w:rsidRPr="00000000">
        <w:rPr>
          <w:rFonts w:ascii="Arial" w:cs="Arial" w:eastAsia="Arial" w:hAnsi="Arial"/>
          <w:sz w:val="22"/>
          <w:szCs w:val="22"/>
          <w:rtl w:val="0"/>
        </w:rPr>
        <w:t xml:space="preserve">44</w:t>
      </w:r>
      <w:r w:rsidDel="00000000" w:rsidR="00000000" w:rsidRPr="00000000">
        <w:rPr>
          <w:rFonts w:ascii="Arial" w:cs="Arial" w:eastAsia="Arial" w:hAnsi="Arial"/>
          <w:color w:val="000000"/>
          <w:sz w:val="22"/>
          <w:szCs w:val="22"/>
          <w:rtl w:val="0"/>
        </w:rPr>
        <w:t xml:space="preserve"> % en 202</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color w:val="000000"/>
          <w:sz w:val="22"/>
          <w:szCs w:val="22"/>
          <w:rtl w:val="0"/>
        </w:rPr>
        <w:t xml:space="preserve">. Le FIPHFP intervient sur l’ensemble du territoire et pour tous les employeurs publics en proposant des aides ponctuelles sur sa plateforme en ligne, ou par l’intermédiaire de conventions pluriannuelles avec les employeurs et dans le cadre du programme accessibilité.  </w:t>
      </w:r>
    </w:p>
    <w:p w:rsidR="00000000" w:rsidDel="00000000" w:rsidP="00000000" w:rsidRDefault="00000000" w:rsidRPr="00000000" w14:paraId="00000017">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  </w:t>
      </w:r>
    </w:p>
    <w:p w:rsidR="00000000" w:rsidDel="00000000" w:rsidP="00000000" w:rsidRDefault="00000000" w:rsidRPr="00000000" w14:paraId="0000001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tbl>
      <w:tblPr>
        <w:tblStyle w:val="Table1"/>
        <w:tblW w:w="907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jc w:val="both"/>
              <w:rPr>
                <w:rFonts w:ascii="Arial" w:cs="Arial" w:eastAsia="Arial" w:hAnsi="Arial"/>
                <w:color w:val="17479e"/>
              </w:rPr>
            </w:pPr>
            <w:r w:rsidDel="00000000" w:rsidR="00000000" w:rsidRPr="00000000">
              <w:rPr>
                <w:rFonts w:ascii="Arial" w:cs="Arial" w:eastAsia="Arial" w:hAnsi="Arial"/>
                <w:color w:val="17479e"/>
                <w:rtl w:val="0"/>
              </w:rPr>
              <w:t xml:space="preserve">Retrouvez plus d’informations </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color w:val="17479e"/>
                <w:rtl w:val="0"/>
              </w:rPr>
              <w:t xml:space="preserve">sur </w:t>
            </w:r>
            <w:hyperlink r:id="rId8">
              <w:r w:rsidDel="00000000" w:rsidR="00000000" w:rsidRPr="00000000">
                <w:rPr>
                  <w:rFonts w:ascii="Arial" w:cs="Arial" w:eastAsia="Arial" w:hAnsi="Arial"/>
                  <w:b w:val="1"/>
                  <w:color w:val="17479e"/>
                  <w:u w:val="single"/>
                  <w:rtl w:val="0"/>
                </w:rPr>
                <w:t xml:space="preserve">www.fiphfp.fr</w:t>
              </w:r>
            </w:hyperlink>
            <w:r w:rsidDel="00000000" w:rsidR="00000000" w:rsidRPr="00000000">
              <w:rPr>
                <w:rFonts w:ascii="Arial" w:cs="Arial" w:eastAsia="Arial" w:hAnsi="Arial"/>
                <w:color w:val="17479e"/>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color w:val="17479e"/>
              </w:rPr>
              <w:drawing>
                <wp:inline distB="0" distT="0" distL="0" distR="0">
                  <wp:extent cx="352425" cy="352425"/>
                  <wp:effectExtent b="0" l="0" r="0" t="0"/>
                  <wp:docPr descr="Une image contenant texte, clipart, roue, matériel&#10;&#10;Description générée automatiquement" id="100" name="image3.png"/>
                  <a:graphic>
                    <a:graphicData uri="http://schemas.openxmlformats.org/drawingml/2006/picture">
                      <pic:pic>
                        <pic:nvPicPr>
                          <pic:cNvPr descr="Une image contenant texte, clipart, roue, matériel&#10;&#10;Description générée automatiquement" id="0" name="image3.png"/>
                          <pic:cNvPicPr preferRelativeResize="0"/>
                        </pic:nvPicPr>
                        <pic:blipFill>
                          <a:blip r:embed="rId9"/>
                          <a:srcRect b="0" l="0" r="0" t="0"/>
                          <a:stretch>
                            <a:fillRect/>
                          </a:stretch>
                        </pic:blipFill>
                        <pic:spPr>
                          <a:xfrm>
                            <a:off x="0" y="0"/>
                            <a:ext cx="352425" cy="352425"/>
                          </a:xfrm>
                          <a:prstGeom prst="rect"/>
                          <a:ln/>
                        </pic:spPr>
                      </pic:pic>
                    </a:graphicData>
                  </a:graphic>
                </wp:inline>
              </w:drawing>
            </w:r>
            <w:r w:rsidDel="00000000" w:rsidR="00000000" w:rsidRPr="00000000">
              <w:rPr>
                <w:rFonts w:ascii="Arial" w:cs="Arial" w:eastAsia="Arial" w:hAnsi="Arial"/>
                <w:color w:val="17479e"/>
              </w:rPr>
              <mc:AlternateContent>
                <mc:Choice Requires="wpg">
                  <w:drawing>
                    <wp:inline distB="0" distT="0" distL="114300" distR="114300">
                      <wp:extent cx="959017" cy="381000"/>
                      <wp:effectExtent b="0" l="0" r="0" t="0"/>
                      <wp:docPr id="93" name=""/>
                      <a:graphic>
                        <a:graphicData uri="http://schemas.microsoft.com/office/word/2010/wordprocessingShape">
                          <wps:wsp>
                            <wps:cNvSpPr/>
                            <wps:cNvPr id="2" name="Shape 2"/>
                            <wps:spPr>
                              <a:xfrm>
                                <a:off x="4880779" y="3603788"/>
                                <a:ext cx="930442" cy="3524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7479e"/>
                                      <w:sz w:val="24"/>
                                      <w:vertAlign w:val="baseline"/>
                                    </w:rPr>
                                    <w:t xml:space="preserve">@FIPHFP</w:t>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959017" cy="381000"/>
                      <wp:effectExtent b="0" l="0" r="0" t="0"/>
                      <wp:docPr id="9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59017" cy="381000"/>
                              </a:xfrm>
                              <a:prstGeom prst="rect"/>
                              <a:ln/>
                            </pic:spPr>
                          </pic:pic>
                        </a:graphicData>
                      </a:graphic>
                    </wp:inline>
                  </w:drawing>
                </mc:Fallback>
              </mc:AlternateConten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color w:val="17479e"/>
              </w:rPr>
              <w:drawing>
                <wp:inline distB="0" distT="0" distL="0" distR="0">
                  <wp:extent cx="352425" cy="352425"/>
                  <wp:effectExtent b="0" l="0" r="0" t="0"/>
                  <wp:docPr descr="Une image contenant texte, clipart&#10;&#10;Description générée automatiquement" id="99" name="image4.png"/>
                  <a:graphic>
                    <a:graphicData uri="http://schemas.openxmlformats.org/drawingml/2006/picture">
                      <pic:pic>
                        <pic:nvPicPr>
                          <pic:cNvPr descr="Une image contenant texte, clipart&#10;&#10;Description générée automatiquement" id="0" name="image4.png"/>
                          <pic:cNvPicPr preferRelativeResize="0"/>
                        </pic:nvPicPr>
                        <pic:blipFill>
                          <a:blip r:embed="rId11"/>
                          <a:srcRect b="0" l="0" r="0" t="0"/>
                          <a:stretch>
                            <a:fillRect/>
                          </a:stretch>
                        </pic:blipFill>
                        <pic:spPr>
                          <a:xfrm>
                            <a:off x="0" y="0"/>
                            <a:ext cx="352425" cy="352425"/>
                          </a:xfrm>
                          <a:prstGeom prst="rect"/>
                          <a:ln/>
                        </pic:spPr>
                      </pic:pic>
                    </a:graphicData>
                  </a:graphic>
                </wp:inline>
              </w:drawing>
            </w:r>
            <w:r w:rsidDel="00000000" w:rsidR="00000000" w:rsidRPr="00000000">
              <w:rPr>
                <w:rFonts w:ascii="Arial" w:cs="Arial" w:eastAsia="Arial" w:hAnsi="Arial"/>
                <w:color w:val="17479e"/>
              </w:rPr>
              <mc:AlternateContent>
                <mc:Choice Requires="wpg">
                  <w:drawing>
                    <wp:inline distB="0" distT="0" distL="114300" distR="114300">
                      <wp:extent cx="959017" cy="381000"/>
                      <wp:effectExtent b="0" l="0" r="0" t="0"/>
                      <wp:docPr id="94" name=""/>
                      <a:graphic>
                        <a:graphicData uri="http://schemas.microsoft.com/office/word/2010/wordprocessingShape">
                          <wps:wsp>
                            <wps:cNvSpPr/>
                            <wps:cNvPr id="3" name="Shape 3"/>
                            <wps:spPr>
                              <a:xfrm>
                                <a:off x="4880779" y="3603788"/>
                                <a:ext cx="930442" cy="3524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7479e"/>
                                      <w:sz w:val="24"/>
                                      <w:vertAlign w:val="baseline"/>
                                    </w:rPr>
                                    <w:t xml:space="preserve">@FIPHFP</w:t>
                                  </w:r>
                                </w:p>
                              </w:txbxContent>
                            </wps:txbx>
                            <wps:bodyPr anchorCtr="0" anchor="t" bIns="45700" lIns="91425" spcFirstLastPara="1" rIns="91425" wrap="square" tIns="45700">
                              <a:noAutofit/>
                            </wps:bodyPr>
                          </wps:wsp>
                        </a:graphicData>
                      </a:graphic>
                    </wp:inline>
                  </w:drawing>
                </mc:Choice>
                <mc:Fallback>
                  <w:drawing>
                    <wp:inline distB="0" distT="0" distL="114300" distR="114300">
                      <wp:extent cx="959017" cy="381000"/>
                      <wp:effectExtent b="0" l="0" r="0" t="0"/>
                      <wp:docPr id="9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959017" cy="3810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784215" cy="38100"/>
                <wp:effectExtent b="0" l="0" r="0" t="0"/>
                <wp:wrapNone/>
                <wp:docPr id="96" name=""/>
                <a:graphic>
                  <a:graphicData uri="http://schemas.microsoft.com/office/word/2010/wordprocessingShape">
                    <wps:wsp>
                      <wps:cNvCnPr/>
                      <wps:spPr>
                        <a:xfrm>
                          <a:off x="2466593" y="3780000"/>
                          <a:ext cx="5758815" cy="0"/>
                        </a:xfrm>
                        <a:prstGeom prst="straightConnector1">
                          <a:avLst/>
                        </a:prstGeom>
                        <a:noFill/>
                        <a:ln cap="flat" cmpd="sng" w="12700">
                          <a:solidFill>
                            <a:srgbClr val="0B9A9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784215" cy="38100"/>
                <wp:effectExtent b="0" l="0" r="0" t="0"/>
                <wp:wrapNone/>
                <wp:docPr id="96"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784215" cy="38100"/>
                        </a:xfrm>
                        <a:prstGeom prst="rect"/>
                        <a:ln/>
                      </pic:spPr>
                    </pic:pic>
                  </a:graphicData>
                </a:graphic>
              </wp:anchor>
            </w:drawing>
          </mc:Fallback>
        </mc:AlternateContent>
      </w:r>
    </w:p>
    <w:p w:rsidR="00000000" w:rsidDel="00000000" w:rsidP="00000000" w:rsidRDefault="00000000" w:rsidRPr="00000000" w14:paraId="0000002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spacing w:line="360" w:lineRule="auto"/>
        <w:jc w:val="both"/>
        <w:rPr>
          <w:rFonts w:ascii="Arial" w:cs="Arial" w:eastAsia="Arial" w:hAnsi="Arial"/>
          <w:b w:val="1"/>
          <w:color w:val="f15b4e"/>
          <w:sz w:val="22"/>
          <w:szCs w:val="22"/>
        </w:rPr>
      </w:pPr>
      <w:r w:rsidDel="00000000" w:rsidR="00000000" w:rsidRPr="00000000">
        <w:rPr>
          <w:rFonts w:ascii="Arial" w:cs="Arial" w:eastAsia="Arial" w:hAnsi="Arial"/>
          <w:b w:val="1"/>
          <w:color w:val="f15b4e"/>
          <w:sz w:val="22"/>
          <w:szCs w:val="22"/>
          <w:rtl w:val="0"/>
        </w:rPr>
        <w:t xml:space="preserve">CONTACTS PRESSE</w:t>
      </w:r>
    </w:p>
    <w:p w:rsidR="00000000" w:rsidDel="00000000" w:rsidP="00000000" w:rsidRDefault="00000000" w:rsidRPr="00000000" w14:paraId="00000023">
      <w:pPr>
        <w:jc w:val="both"/>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Pierre-Yves Galléty</w:t>
      </w:r>
      <w:r w:rsidDel="00000000" w:rsidR="00000000" w:rsidRPr="00000000">
        <w:rPr>
          <w:rFonts w:ascii="Arial" w:cs="Arial" w:eastAsia="Arial" w:hAnsi="Arial"/>
          <w:b w:val="1"/>
          <w:color w:val="000000"/>
          <w:sz w:val="22"/>
          <w:szCs w:val="22"/>
          <w:rtl w:val="0"/>
        </w:rPr>
        <w:t xml:space="preserve"> – 06 </w:t>
      </w:r>
      <w:r w:rsidDel="00000000" w:rsidR="00000000" w:rsidRPr="00000000">
        <w:rPr>
          <w:rFonts w:ascii="Arial" w:cs="Arial" w:eastAsia="Arial" w:hAnsi="Arial"/>
          <w:b w:val="1"/>
          <w:sz w:val="22"/>
          <w:szCs w:val="22"/>
          <w:rtl w:val="0"/>
        </w:rPr>
        <w:t xml:space="preserve">42 98 71 47</w:t>
      </w:r>
      <w:r w:rsidDel="00000000" w:rsidR="00000000" w:rsidRPr="00000000">
        <w:rPr>
          <w:rFonts w:ascii="Arial" w:cs="Arial" w:eastAsia="Arial" w:hAnsi="Arial"/>
          <w:b w:val="1"/>
          <w:color w:val="000000"/>
          <w:sz w:val="22"/>
          <w:szCs w:val="22"/>
          <w:rtl w:val="0"/>
        </w:rPr>
        <w:t xml:space="preserve"> – pierre-yves.gallety@tbwa-corporate.com</w:t>
      </w:r>
    </w:p>
    <w:p w:rsidR="00000000" w:rsidDel="00000000" w:rsidP="00000000" w:rsidRDefault="00000000" w:rsidRPr="00000000" w14:paraId="00000024">
      <w:pPr>
        <w:jc w:val="both"/>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Grégoire Husler – </w:t>
      </w:r>
      <w:r w:rsidDel="00000000" w:rsidR="00000000" w:rsidRPr="00000000">
        <w:rPr>
          <w:rFonts w:ascii="Arial" w:cs="Arial" w:eastAsia="Arial" w:hAnsi="Arial"/>
          <w:b w:val="1"/>
          <w:color w:val="201f1e"/>
          <w:sz w:val="22"/>
          <w:szCs w:val="22"/>
          <w:highlight w:val="white"/>
          <w:rtl w:val="0"/>
        </w:rPr>
        <w:t xml:space="preserve">06 70 10 64 35 - gregoire.husler@tbwa-corporate.com</w:t>
      </w:r>
      <w:r w:rsidDel="00000000" w:rsidR="00000000" w:rsidRPr="00000000">
        <w:rPr>
          <w:rtl w:val="0"/>
        </w:rPr>
      </w:r>
    </w:p>
    <w:sectPr>
      <w:headerReference r:id="rId14" w:type="default"/>
      <w:pgSz w:h="16838" w:w="11906" w:orient="portrait"/>
      <w:pgMar w:bottom="1417" w:top="2692.913385826771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-609599</wp:posOffset>
          </wp:positionH>
          <wp:positionV relativeFrom="paragraph">
            <wp:posOffset>526995</wp:posOffset>
          </wp:positionV>
          <wp:extent cx="734273" cy="1333817"/>
          <wp:effectExtent b="0" l="0" r="0" t="0"/>
          <wp:wrapNone/>
          <wp:docPr id="9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6200000">
                    <a:off x="0" y="0"/>
                    <a:ext cx="734273" cy="133381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5314950</wp:posOffset>
          </wp:positionH>
          <wp:positionV relativeFrom="paragraph">
            <wp:posOffset>-123821</wp:posOffset>
          </wp:positionV>
          <wp:extent cx="905363" cy="1005214"/>
          <wp:effectExtent b="0" l="0" r="0" t="0"/>
          <wp:wrapNone/>
          <wp:docPr id="9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05363" cy="10052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8428D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821273"/>
    <w:pPr>
      <w:ind w:left="720"/>
      <w:contextualSpacing w:val="1"/>
    </w:pPr>
  </w:style>
  <w:style w:type="paragraph" w:styleId="En-tte">
    <w:name w:val="header"/>
    <w:basedOn w:val="Normal"/>
    <w:link w:val="En-tteCar"/>
    <w:uiPriority w:val="99"/>
    <w:unhideWhenUsed w:val="1"/>
    <w:rsid w:val="00821273"/>
    <w:pPr>
      <w:tabs>
        <w:tab w:val="center" w:pos="4536"/>
        <w:tab w:val="right" w:pos="9072"/>
      </w:tabs>
    </w:pPr>
  </w:style>
  <w:style w:type="character" w:styleId="En-tteCar" w:customStyle="1">
    <w:name w:val="En-tête Car"/>
    <w:basedOn w:val="Policepardfaut"/>
    <w:link w:val="En-tte"/>
    <w:uiPriority w:val="99"/>
    <w:rsid w:val="00821273"/>
  </w:style>
  <w:style w:type="paragraph" w:styleId="Pieddepage">
    <w:name w:val="footer"/>
    <w:basedOn w:val="Normal"/>
    <w:link w:val="PieddepageCar"/>
    <w:uiPriority w:val="99"/>
    <w:unhideWhenUsed w:val="1"/>
    <w:rsid w:val="00821273"/>
    <w:pPr>
      <w:tabs>
        <w:tab w:val="center" w:pos="4536"/>
        <w:tab w:val="right" w:pos="9072"/>
      </w:tabs>
    </w:pPr>
  </w:style>
  <w:style w:type="character" w:styleId="PieddepageCar" w:customStyle="1">
    <w:name w:val="Pied de page Car"/>
    <w:basedOn w:val="Policepardfaut"/>
    <w:link w:val="Pieddepage"/>
    <w:uiPriority w:val="99"/>
    <w:rsid w:val="00821273"/>
  </w:style>
  <w:style w:type="character" w:styleId="Lienhypertexte">
    <w:name w:val="Hyperlink"/>
    <w:basedOn w:val="Policepardfaut"/>
    <w:uiPriority w:val="99"/>
    <w:unhideWhenUsed w:val="1"/>
    <w:rsid w:val="00821273"/>
    <w:rPr>
      <w:color w:val="0563c1" w:themeColor="hyperlink"/>
      <w:u w:val="single"/>
    </w:rPr>
  </w:style>
  <w:style w:type="character" w:styleId="Mentionnonrsolue">
    <w:name w:val="Unresolved Mention"/>
    <w:basedOn w:val="Policepardfaut"/>
    <w:uiPriority w:val="99"/>
    <w:semiHidden w:val="1"/>
    <w:unhideWhenUsed w:val="1"/>
    <w:rsid w:val="00821273"/>
    <w:rPr>
      <w:color w:val="605e5c"/>
      <w:shd w:color="auto" w:fill="e1dfdd" w:val="clear"/>
    </w:rPr>
  </w:style>
  <w:style w:type="character" w:styleId="Lienhypertextesuivivisit">
    <w:name w:val="FollowedHyperlink"/>
    <w:basedOn w:val="Policepardfaut"/>
    <w:uiPriority w:val="99"/>
    <w:semiHidden w:val="1"/>
    <w:unhideWhenUsed w:val="1"/>
    <w:rsid w:val="00343D36"/>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hyperlink" Target="http://www.fiphf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TVWHEjcjtIzkUtjk7TTNFK/VPg==">AMUW2mVOeO+X74ihyurU7reXAWcScSZPomk40XP+kVSS6V05P0Rn2RP5epnnyDtpAMMKxLHWnBfY/f63mQUw04M75BGzPsPkOQLcly+aosOy+LFqLPfGhqk8xuuT7SSzLldxtQflULfCmISkQqEWgoFHBenLQKVW6+ECtIrY/bTmfhILywCFRYZmxd0PMH8o8XZ9NhoejNzvrK4KEmvUvfcOyIVmth2lsJQaABqkH3w0NNxIKFb8JEli8N65/o7+XP1dp8CNIh9USdvBkeaGjP4a8m9d1Uik4Z7ivLxxGoGB3xZOtNHyXegvx6Mra2/TKUKbnVVrxYdCEv8VhHwG8eoeTOC6r5JDlcs4FcOCu1iR8oRPjPgPEi5S2PHgg1mX221bJ1SBoLIbWQMRN/2fJCKKGHX2onmoub8OsF6FkM94ol3W2MXDmKXP/BTLjgGKj2LemYI9d3C7LJVlhIb2cmDP9J+/cC/I87ZmvK0HF/xxtWTUd0SZ/vt8xC62jSHGHMjAnK9448bETDCazPPqPSjNAo68Sf7E+cWd3AdO8ee0QdtcfhSM5hmALrDaD2xmxTEHZxDd8WoAnkDKnrWvlCxS22Hb3X2lF67/S3MVlEWU1R89/hrHFDr3nAbD7ai+6WmXK4SBmFJHIBgN0u0T8fc0xYhtDYS1G942sVXGUKebIG2XGxPme9hk7dAuvpysq/4Nr7Bdnx9sfzXI6DVM2ZK83m8HoZiKsFnM4oX1/hNEOMwTWlda2GisDLWsHhXnVxkk+Px2aAWUAFcAfqW2Cm0nj9JCsxgurVoq1b1KiFG0L0nDmH5qSC7O1RCu28XHTYBQJYZpZUVHyLkjBX7r23lZA7XaTh7TKpzW94UHOq8ln9VuRnCBJ88gU5b8ITLozudt0xq/uj9c49OL9VfPtP+PbtFHTbejEMcpMCtt7iSdwFA/uhvGFJwh3cELwuolcMFMw1ECBRQpdBkvucSu4KEdCunwj3hRbhHlrJfDEcCNnmVh9e4qESGJ3fHs50n9+D/b+MfVTFsgeYzXqtL0ZqCXA5UPSqHjP6xN5TJt/WuvI94Xyc0DgAnpfbtVBfU2lIJafbkZcfXRFmYWb3xkKVAy58wmgiowOirYTKsiHCiwrQ0gMCFUl8mv1Kp+k8syBnJduX0BTbamTsyUherrxT4iifeUZ/W/niD/0cY/dz0OD2gmSGOGQ46GrfoxJJZqUnTetyQ2FN6A1aILH3cMsJqMaRKFKXtFbb5ZhdU7nFIut4VI/3Hk6C52oosvBHQr2+LTiMFFDyXpxWgPSPGDc2nbEwcGN4TZ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2022-01-18T10:12:00Z</dcterms:created>
  <dc:creator>Lea Valleix (TBWA Corporate)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2022-01-18T11:30:51Z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5d0904cd-ef54-4f4b-80a8-3d9d96318612</vt:lpwstr>
  </property>
  <property fmtid="{D5CDD505-2E9C-101B-9397-08002B2CF9AE}" pid="8" name="MSIP_Label_b3fbc5b3-0854-499e-ac99-1df59a3241e9_ContentBits">
    <vt:lpwstr>2</vt:lpwstr>
  </property>
</Properties>
</file>